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7A" w:rsidRPr="007E0E7A" w:rsidRDefault="007E0E7A" w:rsidP="007E0E7A">
      <w:pPr>
        <w:pStyle w:val="1"/>
        <w:tabs>
          <w:tab w:val="left" w:pos="366"/>
        </w:tabs>
        <w:ind w:firstLine="709"/>
        <w:jc w:val="both"/>
        <w:rPr>
          <w:b/>
          <w:color w:val="000000"/>
          <w:lang w:bidi="ru-RU"/>
        </w:rPr>
      </w:pPr>
      <w:bookmarkStart w:id="0" w:name="_GoBack"/>
      <w:bookmarkEnd w:id="0"/>
      <w:r w:rsidRPr="007E0E7A">
        <w:rPr>
          <w:b/>
          <w:color w:val="000000"/>
          <w:lang w:bidi="ru-RU"/>
        </w:rPr>
        <w:t xml:space="preserve">Об изменении порядка приема наличных денежных средств. </w:t>
      </w:r>
    </w:p>
    <w:p w:rsidR="007E0E7A" w:rsidRPr="00D4347B" w:rsidRDefault="007E0E7A" w:rsidP="007E0E7A">
      <w:pPr>
        <w:pStyle w:val="1"/>
        <w:tabs>
          <w:tab w:val="left" w:pos="366"/>
        </w:tabs>
        <w:ind w:firstLine="709"/>
        <w:jc w:val="both"/>
      </w:pPr>
      <w:r>
        <w:rPr>
          <w:color w:val="000000"/>
          <w:lang w:bidi="ru-RU"/>
        </w:rPr>
        <w:t>В</w:t>
      </w:r>
      <w:r w:rsidRPr="00D4347B">
        <w:rPr>
          <w:color w:val="000000"/>
          <w:lang w:bidi="ru-RU"/>
        </w:rPr>
        <w:t xml:space="preserve"> целях реализации Закона Республики Беларусь от 19 апреля 2022 г. № 164-3 «О платежных системах и платежных услугах» (далее - Закон № 164-3), Закона Республики Беларусь от 18 июля 2022 г. №196-3«Об изменении Закона Республики Беларусь «Об автомобильном транспорте и автомобильных перевозках» (далее - Закон № 196-3), обеспечения учета реализации маркированных средствами идентификации и унифицированными контрольными знаками товаров в розничной торговле принято постановление Совета Министров Республики Беларусь и Национального банка Республики Беларусь от 7 декабря 2022 г. № 841/27 «Об изменении постановлений Совета Министров Республики Беларусь и Национального банка Республики Беларусь от 6 июля 2011 г. № 924/1Д и от 3 марта 2022 г. № 114/6» (далее - постановление № -841/27</w:t>
      </w:r>
      <w:r>
        <w:rPr>
          <w:color w:val="000000"/>
          <w:lang w:bidi="ru-RU"/>
        </w:rPr>
        <w:t>).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Постановлением № 841/27 предусматривается</w:t>
      </w:r>
      <w:r>
        <w:rPr>
          <w:color w:val="000000"/>
          <w:lang w:bidi="ru-RU"/>
        </w:rPr>
        <w:t>: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установление порядка приема платежей платежными</w:t>
      </w:r>
      <w:r w:rsidR="006C36C5" w:rsidRPr="006C36C5">
        <w:rPr>
          <w:color w:val="000000"/>
          <w:lang w:bidi="ru-RU"/>
        </w:rPr>
        <w:t xml:space="preserve"> </w:t>
      </w:r>
      <w:r w:rsidRPr="00D4347B">
        <w:rPr>
          <w:color w:val="000000"/>
          <w:lang w:bidi="ru-RU"/>
        </w:rPr>
        <w:t>агрегаторами как в свой адрес, так и в адрес третьих лиц;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установление возможности использования субъектами хозяйствования, осуществляющими автомобильные перевозки пассажиров, включая перевозки автомобилями-такси, как кассовых суммирующих аппаратов, так и программных касс, а также особенности приема платежей и использования кассового оборудования в случае заказа автомобильной перевозки автомобилями-такси с использованием электронных информационных систем;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введение с 1 июля 2025 г. обязанности для субъектов хозяйствования использовать кассовое оборудование, которое обеспечивает учет информации о маркированном товаре и передачу ее в систему контроля кассового оборудования;</w:t>
      </w:r>
    </w:p>
    <w:p w:rsidR="007E0E7A" w:rsidRPr="00D4347B" w:rsidRDefault="007E0E7A" w:rsidP="007E0E7A">
      <w:pPr>
        <w:pStyle w:val="1"/>
        <w:shd w:val="clear" w:color="auto" w:fill="auto"/>
        <w:ind w:firstLine="851"/>
        <w:jc w:val="both"/>
      </w:pPr>
      <w:r w:rsidRPr="00D4347B">
        <w:rPr>
          <w:color w:val="000000"/>
          <w:lang w:bidi="ru-RU"/>
        </w:rPr>
        <w:t>уточнение требований к дифференцированному учету данных о товарах, подлежащих товарной нумерации и штриховому кодированию, исключающие ошибки при идентификации таких товаров;</w:t>
      </w:r>
    </w:p>
    <w:p w:rsidR="007E0E7A" w:rsidRPr="00D71B86" w:rsidRDefault="007E0E7A" w:rsidP="007E0E7A">
      <w:pPr>
        <w:pStyle w:val="1"/>
        <w:shd w:val="clear" w:color="auto" w:fill="auto"/>
        <w:ind w:firstLine="851"/>
        <w:jc w:val="both"/>
        <w:rPr>
          <w:color w:val="000000"/>
          <w:lang w:bidi="ru-RU"/>
        </w:rPr>
      </w:pPr>
      <w:r w:rsidRPr="00D4347B">
        <w:rPr>
          <w:color w:val="000000"/>
          <w:lang w:bidi="ru-RU"/>
        </w:rPr>
        <w:t>установление необходимого периода (до 1 июля 2025 г.) для доработки используемых юридическими лицами и индивидуальными предпринимателями кассовых суммирующих аппаратов, в том числе совмещенных с таксометрами, билетопечатающих машин под требования к кассовым аппаратам, установленные постановлением Министерства по налогам и сборам Республики Беларусь, Государственного комитета по стандартизации Республики Беларусь от 14 октября 2022 г. № 29/99 «О требованиях к кассовым суммирующимаппаратам, в том числе совмещенным билетопечатающим машинам».</w:t>
      </w:r>
    </w:p>
    <w:p w:rsidR="007E0E7A" w:rsidRPr="00D4347B" w:rsidRDefault="007E0E7A" w:rsidP="007E0E7A">
      <w:pPr>
        <w:pStyle w:val="1"/>
        <w:shd w:val="clear" w:color="auto" w:fill="auto"/>
        <w:tabs>
          <w:tab w:val="left" w:pos="3623"/>
        </w:tabs>
        <w:spacing w:line="252" w:lineRule="auto"/>
        <w:ind w:firstLine="851"/>
        <w:jc w:val="both"/>
      </w:pPr>
      <w:r w:rsidRPr="00D4347B">
        <w:rPr>
          <w:color w:val="000000"/>
          <w:lang w:bidi="ru-RU"/>
        </w:rPr>
        <w:t>Кроме того, постановлением №</w:t>
      </w:r>
      <w:r w:rsidRPr="00D4347B">
        <w:rPr>
          <w:color w:val="000000"/>
          <w:lang w:bidi="ru-RU"/>
        </w:rPr>
        <w:tab/>
        <w:t>841/27 предусматривается</w:t>
      </w:r>
    </w:p>
    <w:p w:rsidR="007E0E7A" w:rsidRDefault="007E0E7A" w:rsidP="007E0E7A">
      <w:pPr>
        <w:pStyle w:val="1"/>
        <w:shd w:val="clear" w:color="auto" w:fill="auto"/>
        <w:spacing w:line="252" w:lineRule="auto"/>
        <w:ind w:firstLine="851"/>
        <w:jc w:val="both"/>
        <w:rPr>
          <w:color w:val="000000"/>
          <w:lang w:bidi="ru-RU"/>
        </w:rPr>
      </w:pPr>
      <w:r w:rsidRPr="00D4347B">
        <w:rPr>
          <w:color w:val="000000"/>
          <w:lang w:bidi="ru-RU"/>
        </w:rPr>
        <w:t xml:space="preserve">уточнение терминологии и определений, используемых в постановлении Совета Министров Республики Беларусь и Национального </w:t>
      </w:r>
      <w:r w:rsidRPr="00D4347B">
        <w:rPr>
          <w:color w:val="000000"/>
          <w:lang w:bidi="ru-RU"/>
        </w:rPr>
        <w:lastRenderedPageBreak/>
        <w:t>банка Республики Беларусь от 6 июля 2011 г. № 942/16 «Об использовании кассового и иного оборудования при приеме средств платежа» и утвержденном этим постановлением Положении об использовании кассового и иного оборудования при приеме средств платежа в соответствии с Законом № 164-3.</w:t>
      </w:r>
    </w:p>
    <w:p w:rsidR="00887D39" w:rsidRDefault="00887D39"/>
    <w:sectPr w:rsidR="00887D39" w:rsidSect="00971F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7A"/>
    <w:rsid w:val="000F432F"/>
    <w:rsid w:val="001618A4"/>
    <w:rsid w:val="00427875"/>
    <w:rsid w:val="004F2D2B"/>
    <w:rsid w:val="00592909"/>
    <w:rsid w:val="00593A14"/>
    <w:rsid w:val="006C36C5"/>
    <w:rsid w:val="007E0E7A"/>
    <w:rsid w:val="00887D39"/>
    <w:rsid w:val="00922E77"/>
    <w:rsid w:val="00971F19"/>
    <w:rsid w:val="00DA1903"/>
    <w:rsid w:val="00DD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B7BE6-9D01-4866-ACE0-BF2236EC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E0E7A"/>
    <w:rPr>
      <w:rFonts w:eastAsia="Times New Roman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7E0E7A"/>
    <w:pPr>
      <w:widowControl w:val="0"/>
      <w:shd w:val="clear" w:color="auto" w:fill="FFFFFF"/>
      <w:ind w:firstLine="380"/>
      <w:jc w:val="left"/>
    </w:pPr>
    <w:rPr>
      <w:rFonts w:eastAsia="Times New Roman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user</cp:lastModifiedBy>
  <cp:revision>2</cp:revision>
  <dcterms:created xsi:type="dcterms:W3CDTF">2025-04-11T06:47:00Z</dcterms:created>
  <dcterms:modified xsi:type="dcterms:W3CDTF">2025-04-11T06:47:00Z</dcterms:modified>
</cp:coreProperties>
</file>