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F62" w:rsidRPr="00411F62" w:rsidRDefault="00411F62" w:rsidP="00411F62">
      <w:pPr>
        <w:shd w:val="clear" w:color="auto" w:fill="FFFFFF"/>
        <w:spacing w:after="0" w:line="240" w:lineRule="auto"/>
        <w:jc w:val="center"/>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aps/>
          <w:color w:val="212529"/>
          <w:sz w:val="24"/>
          <w:szCs w:val="24"/>
          <w:lang w:eastAsia="ru-BY"/>
        </w:rPr>
        <w:t>УКАЗ ПРЕЗИДЕНТА РЕСПУБЛИКИ БЕЛАРУСЬ</w:t>
      </w:r>
    </w:p>
    <w:p w:rsidR="00411F62" w:rsidRPr="00411F62" w:rsidRDefault="00411F62" w:rsidP="00411F62">
      <w:pPr>
        <w:shd w:val="clear" w:color="auto" w:fill="FFFFFF"/>
        <w:spacing w:after="0" w:line="240" w:lineRule="auto"/>
        <w:jc w:val="center"/>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22 сентября 2017 г. № 345</w:t>
      </w:r>
    </w:p>
    <w:p w:rsidR="00411F62" w:rsidRPr="00411F62" w:rsidRDefault="00411F62" w:rsidP="00411F62">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BY"/>
        </w:rPr>
      </w:pPr>
      <w:r w:rsidRPr="00411F62">
        <w:rPr>
          <w:rFonts w:ascii="Times New Roman" w:eastAsia="Times New Roman" w:hAnsi="Times New Roman" w:cs="Times New Roman"/>
          <w:b/>
          <w:bCs/>
          <w:color w:val="212529"/>
          <w:sz w:val="34"/>
          <w:szCs w:val="34"/>
          <w:lang w:eastAsia="ru-BY"/>
        </w:rPr>
        <w:t>О развитии торговли, общественного питания и бытового обслуживания</w:t>
      </w:r>
    </w:p>
    <w:p w:rsidR="00411F62" w:rsidRPr="00411F62" w:rsidRDefault="00411F62" w:rsidP="00411F62">
      <w:pPr>
        <w:shd w:val="clear" w:color="auto" w:fill="FFFFFF"/>
        <w:spacing w:after="0" w:line="450" w:lineRule="atLeast"/>
        <w:ind w:left="750"/>
        <w:rPr>
          <w:rFonts w:ascii="Times New Roman" w:eastAsia="Times New Roman" w:hAnsi="Times New Roman" w:cs="Times New Roman"/>
          <w:color w:val="000000"/>
          <w:sz w:val="24"/>
          <w:szCs w:val="24"/>
          <w:lang w:eastAsia="ru-BY"/>
        </w:rPr>
      </w:pPr>
      <w:r w:rsidRPr="00411F62">
        <w:rPr>
          <w:rFonts w:ascii="Times New Roman" w:eastAsia="Times New Roman" w:hAnsi="Times New Roman" w:cs="Times New Roman"/>
          <w:color w:val="000000"/>
          <w:sz w:val="24"/>
          <w:szCs w:val="24"/>
          <w:lang w:eastAsia="ru-BY"/>
        </w:rPr>
        <w:t>Изменения и дополнения:</w:t>
      </w:r>
    </w:p>
    <w:p w:rsidR="00411F62" w:rsidRPr="00411F62" w:rsidRDefault="00411F62" w:rsidP="00411F6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BY"/>
        </w:rPr>
      </w:pPr>
      <w:hyperlink r:id="rId4" w:history="1">
        <w:r w:rsidRPr="00411F62">
          <w:rPr>
            <w:rFonts w:ascii="Times New Roman" w:eastAsia="Times New Roman" w:hAnsi="Times New Roman" w:cs="Times New Roman"/>
            <w:color w:val="000CFF"/>
            <w:sz w:val="24"/>
            <w:szCs w:val="24"/>
            <w:u w:val="single"/>
            <w:lang w:eastAsia="ru-BY"/>
          </w:rPr>
          <w:t>Указ Президента Республики Беларусь от 31 октября 2019 г. № 411</w:t>
        </w:r>
      </w:hyperlink>
      <w:r w:rsidRPr="00411F62">
        <w:rPr>
          <w:rFonts w:ascii="Times New Roman" w:eastAsia="Times New Roman" w:hAnsi="Times New Roman" w:cs="Times New Roman"/>
          <w:color w:val="212529"/>
          <w:sz w:val="24"/>
          <w:szCs w:val="24"/>
          <w:lang w:eastAsia="ru-BY"/>
        </w:rPr>
        <w:t> (Национальный правовой Интернет-портал Республики Беларусь, 06.11.2019, 1/18653);</w:t>
      </w:r>
    </w:p>
    <w:p w:rsidR="00411F62" w:rsidRPr="00411F62" w:rsidRDefault="00411F62" w:rsidP="00411F6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BY"/>
        </w:rPr>
      </w:pPr>
      <w:hyperlink r:id="rId5" w:history="1">
        <w:r w:rsidRPr="00411F62">
          <w:rPr>
            <w:rFonts w:ascii="Times New Roman" w:eastAsia="Times New Roman" w:hAnsi="Times New Roman" w:cs="Times New Roman"/>
            <w:color w:val="000CFF"/>
            <w:sz w:val="24"/>
            <w:szCs w:val="24"/>
            <w:u w:val="single"/>
            <w:lang w:eastAsia="ru-BY"/>
          </w:rPr>
          <w:t>Указ Президента Республики Беларусь от 24 августа 2022 г. № 298</w:t>
        </w:r>
      </w:hyperlink>
      <w:r w:rsidRPr="00411F62">
        <w:rPr>
          <w:rFonts w:ascii="Times New Roman" w:eastAsia="Times New Roman" w:hAnsi="Times New Roman" w:cs="Times New Roman"/>
          <w:color w:val="212529"/>
          <w:sz w:val="24"/>
          <w:szCs w:val="24"/>
          <w:lang w:eastAsia="ru-BY"/>
        </w:rPr>
        <w:t> (Национальный правовой Интернет-портал Республики Беларусь, 26.08.2022, 1/20483);</w:t>
      </w:r>
    </w:p>
    <w:p w:rsidR="00411F62" w:rsidRPr="00411F62" w:rsidRDefault="00411F62" w:rsidP="00411F6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BY"/>
        </w:rPr>
      </w:pPr>
      <w:hyperlink r:id="rId6" w:history="1">
        <w:r w:rsidRPr="00411F62">
          <w:rPr>
            <w:rFonts w:ascii="Times New Roman" w:eastAsia="Times New Roman" w:hAnsi="Times New Roman" w:cs="Times New Roman"/>
            <w:color w:val="000CFF"/>
            <w:sz w:val="24"/>
            <w:szCs w:val="24"/>
            <w:u w:val="single"/>
            <w:lang w:eastAsia="ru-BY"/>
          </w:rPr>
          <w:t>Указ Президента Республики Беларусь от 2 февраля 2024 г. № 42</w:t>
        </w:r>
      </w:hyperlink>
      <w:r w:rsidRPr="00411F62">
        <w:rPr>
          <w:rFonts w:ascii="Times New Roman" w:eastAsia="Times New Roman" w:hAnsi="Times New Roman" w:cs="Times New Roman"/>
          <w:color w:val="212529"/>
          <w:sz w:val="24"/>
          <w:szCs w:val="24"/>
          <w:lang w:eastAsia="ru-BY"/>
        </w:rPr>
        <w:t> (Национальный правовой Интернет-портал Республики Беларусь, 06.02.2024, 1/21219) - внесены изменения и дополнения, вступившие в силу 7 февраля 2024 г., за исключением изменений и дополнений, которые вступят в силу 1 марта 2024 г.;</w:t>
      </w:r>
    </w:p>
    <w:p w:rsidR="00411F62" w:rsidRPr="00411F62" w:rsidRDefault="00411F62" w:rsidP="00411F6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BY"/>
        </w:rPr>
      </w:pPr>
      <w:hyperlink r:id="rId7" w:history="1">
        <w:r w:rsidRPr="00411F62">
          <w:rPr>
            <w:rFonts w:ascii="Times New Roman" w:eastAsia="Times New Roman" w:hAnsi="Times New Roman" w:cs="Times New Roman"/>
            <w:color w:val="000CFF"/>
            <w:sz w:val="24"/>
            <w:szCs w:val="24"/>
            <w:u w:val="single"/>
            <w:lang w:eastAsia="ru-BY"/>
          </w:rPr>
          <w:t>Указ Президента Республики Беларусь от 2 февраля 2024 г. № 42</w:t>
        </w:r>
      </w:hyperlink>
      <w:r w:rsidRPr="00411F62">
        <w:rPr>
          <w:rFonts w:ascii="Times New Roman" w:eastAsia="Times New Roman" w:hAnsi="Times New Roman" w:cs="Times New Roman"/>
          <w:color w:val="212529"/>
          <w:sz w:val="24"/>
          <w:szCs w:val="24"/>
          <w:lang w:eastAsia="ru-BY"/>
        </w:rPr>
        <w:t> (Национальный правовой Интернет-портал Республики Беларусь, 06.02.2024, 1/21219) - внесены изменения и дополнения, вступившие в силу 7 февраля 2024 г. и 1 марта 2024 г.</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В целях создания условий для развития торговли, общественного питания и бытового обслуживания:</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 Установить, что:</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xml:space="preserve">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w:t>
      </w:r>
      <w:proofErr w:type="spellStart"/>
      <w:r w:rsidRPr="00411F62">
        <w:rPr>
          <w:rFonts w:ascii="Times New Roman" w:eastAsia="Times New Roman" w:hAnsi="Times New Roman" w:cs="Times New Roman"/>
          <w:color w:val="212529"/>
          <w:sz w:val="24"/>
          <w:szCs w:val="24"/>
          <w:lang w:eastAsia="ru-BY"/>
        </w:rPr>
        <w:t>микроорганизации</w:t>
      </w:r>
      <w:proofErr w:type="spellEnd"/>
      <w:r w:rsidRPr="00411F62">
        <w:rPr>
          <w:rFonts w:ascii="Times New Roman" w:eastAsia="Times New Roman" w:hAnsi="Times New Roman" w:cs="Times New Roman"/>
          <w:color w:val="212529"/>
          <w:sz w:val="24"/>
          <w:szCs w:val="24"/>
          <w:lang w:eastAsia="ru-BY"/>
        </w:rPr>
        <w:t>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доходы от деятельности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lastRenderedPageBreak/>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xml:space="preserve">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w:t>
      </w:r>
      <w:proofErr w:type="spellStart"/>
      <w:r w:rsidRPr="00411F62">
        <w:rPr>
          <w:rFonts w:ascii="Times New Roman" w:eastAsia="Times New Roman" w:hAnsi="Times New Roman" w:cs="Times New Roman"/>
          <w:color w:val="212529"/>
          <w:sz w:val="24"/>
          <w:szCs w:val="24"/>
          <w:lang w:eastAsia="ru-BY"/>
        </w:rPr>
        <w:t>микроорганизаций</w:t>
      </w:r>
      <w:proofErr w:type="spellEnd"/>
      <w:r w:rsidRPr="00411F62">
        <w:rPr>
          <w:rFonts w:ascii="Times New Roman" w:eastAsia="Times New Roman" w:hAnsi="Times New Roman" w:cs="Times New Roman"/>
          <w:color w:val="212529"/>
          <w:sz w:val="24"/>
          <w:szCs w:val="24"/>
          <w:lang w:eastAsia="ru-BY"/>
        </w:rPr>
        <w:t xml:space="preserve"> при условии осуществления ими в календарном месяце деятельности на территории малых городских поселений в этих капитальных строениях (зданиях, сооружениях);</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1.1</w:t>
      </w:r>
      <w:r w:rsidRPr="00411F62">
        <w:rPr>
          <w:rFonts w:ascii="Times New Roman" w:eastAsia="Times New Roman" w:hAnsi="Times New Roman" w:cs="Times New Roman"/>
          <w:color w:val="212529"/>
          <w:sz w:val="18"/>
          <w:szCs w:val="18"/>
          <w:vertAlign w:val="superscript"/>
          <w:lang w:eastAsia="ru-BY"/>
        </w:rPr>
        <w:t>1</w:t>
      </w:r>
      <w:r w:rsidRPr="00411F62">
        <w:rPr>
          <w:rFonts w:ascii="Times New Roman" w:eastAsia="Times New Roman" w:hAnsi="Times New Roman" w:cs="Times New Roman"/>
          <w:color w:val="212529"/>
          <w:sz w:val="24"/>
          <w:szCs w:val="24"/>
          <w:lang w:eastAsia="ru-BY"/>
        </w:rPr>
        <w:t>. с 1 января 2024 г. по 31 декабря 2028 г. индивидуальные предприниматели и юридические лица вправе осуществлять деятельность на территории сельской местности, а индивидуальные предприниматели и </w:t>
      </w:r>
      <w:proofErr w:type="spellStart"/>
      <w:r w:rsidRPr="00411F62">
        <w:rPr>
          <w:rFonts w:ascii="Times New Roman" w:eastAsia="Times New Roman" w:hAnsi="Times New Roman" w:cs="Times New Roman"/>
          <w:color w:val="212529"/>
          <w:sz w:val="24"/>
          <w:szCs w:val="24"/>
          <w:lang w:eastAsia="ru-BY"/>
        </w:rPr>
        <w:t>микроорганизации</w:t>
      </w:r>
      <w:proofErr w:type="spellEnd"/>
      <w:r w:rsidRPr="00411F62">
        <w:rPr>
          <w:rFonts w:ascii="Times New Roman" w:eastAsia="Times New Roman" w:hAnsi="Times New Roman" w:cs="Times New Roman"/>
          <w:color w:val="212529"/>
          <w:sz w:val="24"/>
          <w:szCs w:val="24"/>
          <w:lang w:eastAsia="ru-BY"/>
        </w:rPr>
        <w:t> – деятельность на территории малых городских поселений с учетом следующих особенностей:</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прибыль от реализации товаров (работ, услуг), полученная соответственно от деятельности на территории сельской местности и деятельности на территории малых городских поселений, облагается налогом на прибыль по ставке, уменьшенной на 50 процентов от ставки, установленной в </w:t>
      </w:r>
      <w:hyperlink r:id="rId8" w:anchor="&amp;Article=184&amp;Point=1" w:history="1">
        <w:r w:rsidRPr="00411F62">
          <w:rPr>
            <w:rFonts w:ascii="Times New Roman" w:eastAsia="Times New Roman" w:hAnsi="Times New Roman" w:cs="Times New Roman"/>
            <w:color w:val="000CFF"/>
            <w:sz w:val="24"/>
            <w:szCs w:val="24"/>
            <w:u w:val="single"/>
            <w:lang w:eastAsia="ru-BY"/>
          </w:rPr>
          <w:t>пункте 1</w:t>
        </w:r>
      </w:hyperlink>
      <w:r w:rsidRPr="00411F62">
        <w:rPr>
          <w:rFonts w:ascii="Times New Roman" w:eastAsia="Times New Roman" w:hAnsi="Times New Roman" w:cs="Times New Roman"/>
          <w:color w:val="212529"/>
          <w:sz w:val="24"/>
          <w:szCs w:val="24"/>
          <w:lang w:eastAsia="ru-BY"/>
        </w:rPr>
        <w:t> статьи 184 Налогового кодекса Республики Беларусь;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доходы от деятельности на соответствующих территориях облагаются подоходным налогом с физических лиц, если получающие их индивидуальные предприниматели являются плательщиками этого налога, по ставке, уменьшенной на 50 процентов от ставки, установленной в </w:t>
      </w:r>
      <w:hyperlink r:id="rId9" w:anchor="&amp;Article=214&amp;Point=3" w:history="1">
        <w:r w:rsidRPr="00411F62">
          <w:rPr>
            <w:rFonts w:ascii="Times New Roman" w:eastAsia="Times New Roman" w:hAnsi="Times New Roman" w:cs="Times New Roman"/>
            <w:color w:val="000CFF"/>
            <w:sz w:val="24"/>
            <w:szCs w:val="24"/>
            <w:u w:val="single"/>
            <w:lang w:eastAsia="ru-BY"/>
          </w:rPr>
          <w:t>пункте 3</w:t>
        </w:r>
      </w:hyperlink>
      <w:r w:rsidRPr="00411F62">
        <w:rPr>
          <w:rFonts w:ascii="Times New Roman" w:eastAsia="Times New Roman" w:hAnsi="Times New Roman" w:cs="Times New Roman"/>
          <w:color w:val="212529"/>
          <w:sz w:val="24"/>
          <w:szCs w:val="24"/>
          <w:lang w:eastAsia="ru-BY"/>
        </w:rPr>
        <w:t> статьи 214 Налогового кодекса Республики Беларусь;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освобождаются от налога на недвижимость, земельного налога, арендной платы за земельные участки, находящиеся в государственной собственности, расположенные на территории:</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квартале деятельности на территории сельской местности в этих капитальных строениях (зданиях, сооружениях);</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w:t>
      </w:r>
      <w:proofErr w:type="spellStart"/>
      <w:r w:rsidRPr="00411F62">
        <w:rPr>
          <w:rFonts w:ascii="Times New Roman" w:eastAsia="Times New Roman" w:hAnsi="Times New Roman" w:cs="Times New Roman"/>
          <w:color w:val="212529"/>
          <w:sz w:val="24"/>
          <w:szCs w:val="24"/>
          <w:lang w:eastAsia="ru-BY"/>
        </w:rPr>
        <w:t>микроорганизаций</w:t>
      </w:r>
      <w:proofErr w:type="spellEnd"/>
      <w:r w:rsidRPr="00411F62">
        <w:rPr>
          <w:rFonts w:ascii="Times New Roman" w:eastAsia="Times New Roman" w:hAnsi="Times New Roman" w:cs="Times New Roman"/>
          <w:color w:val="212529"/>
          <w:sz w:val="24"/>
          <w:szCs w:val="24"/>
          <w:lang w:eastAsia="ru-BY"/>
        </w:rPr>
        <w:t xml:space="preserve"> при условии осуществления ими в календарном квартале деятельности на территории малых городских поселений в этих капитальных строениях (зданиях, сооружениях);</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1.2. действие </w:t>
      </w:r>
      <w:hyperlink r:id="rId10"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Льготы, предусмотренные в абзацах втором–пятом </w:t>
      </w:r>
      <w:hyperlink r:id="rId11"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втором–пятом </w:t>
      </w:r>
      <w:hyperlink r:id="rId12"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а для целей абзацев третьего и четвертого </w:t>
      </w:r>
      <w:hyperlink r:id="rId13"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xml:space="preserve"> настоящего </w:t>
      </w:r>
      <w:r w:rsidRPr="00411F62">
        <w:rPr>
          <w:rFonts w:ascii="Times New Roman" w:eastAsia="Times New Roman" w:hAnsi="Times New Roman" w:cs="Times New Roman"/>
          <w:color w:val="212529"/>
          <w:sz w:val="24"/>
          <w:szCs w:val="24"/>
          <w:lang w:eastAsia="ru-BY"/>
        </w:rPr>
        <w:lastRenderedPageBreak/>
        <w:t>пункта – также затрат (расходов) по производству и (или) реализации этих товаров (работ, услуг).</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Выручка от реализации товаров (работ, услуг) при осуществлении деятельности на соответствующих территориях, указанной в абзаце пятом </w:t>
      </w:r>
      <w:hyperlink r:id="rId14"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освобождается от доплаты единого налога, предусмотренной в пункте </w:t>
      </w:r>
      <w:hyperlink r:id="rId15" w:anchor="&amp;Article=342&amp;Point=14" w:history="1">
        <w:r w:rsidRPr="00411F62">
          <w:rPr>
            <w:rFonts w:ascii="Times New Roman" w:eastAsia="Times New Roman" w:hAnsi="Times New Roman" w:cs="Times New Roman"/>
            <w:color w:val="000CFF"/>
            <w:sz w:val="24"/>
            <w:szCs w:val="24"/>
            <w:u w:val="single"/>
            <w:lang w:eastAsia="ru-BY"/>
          </w:rPr>
          <w:t>14</w:t>
        </w:r>
      </w:hyperlink>
      <w:r w:rsidRPr="00411F62">
        <w:rPr>
          <w:rFonts w:ascii="Times New Roman" w:eastAsia="Times New Roman" w:hAnsi="Times New Roman" w:cs="Times New Roman"/>
          <w:color w:val="212529"/>
          <w:sz w:val="24"/>
          <w:szCs w:val="24"/>
          <w:lang w:eastAsia="ru-BY"/>
        </w:rPr>
        <w:t> статьи 342 Налогового кодекса Республики Беларусь.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У индивидуальных предпринимателей и юридических лиц:</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для применения освобождения от налога на добавленную стоимость, предусмотренного в абзаце втором </w:t>
      </w:r>
      <w:hyperlink r:id="rId16"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распределение налоговых вычетов по налогу на добавленную стоимость осуществляется методом раздельного учета;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абзацу второму </w:t>
      </w:r>
      <w:hyperlink r:id="rId17"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Льготы, предусмотренные в абзацах шестом–восьмом </w:t>
      </w:r>
      <w:hyperlink r:id="rId18"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шестом–восьмом </w:t>
      </w:r>
      <w:hyperlink r:id="rId19"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При этом льготы по налогу на недвижимость, земельному налогу, арендной плате за земельные участки, находящиеся в государственной собственности, предусмотренные в абзацах седьмом и восьмом </w:t>
      </w:r>
      <w:hyperlink r:id="rId20" w:anchor="&amp;Point=1&amp;UnderPoint=1.1" w:history="1">
        <w:r w:rsidRPr="00411F62">
          <w:rPr>
            <w:rFonts w:ascii="Times New Roman" w:eastAsia="Times New Roman" w:hAnsi="Times New Roman" w:cs="Times New Roman"/>
            <w:color w:val="000CFF"/>
            <w:sz w:val="24"/>
            <w:szCs w:val="24"/>
            <w:u w:val="single"/>
            <w:lang w:eastAsia="ru-BY"/>
          </w:rPr>
          <w:t>подпункта 1.1</w:t>
        </w:r>
      </w:hyperlink>
      <w:r w:rsidRPr="00411F62">
        <w:rPr>
          <w:rFonts w:ascii="Times New Roman" w:eastAsia="Times New Roman" w:hAnsi="Times New Roman" w:cs="Times New Roman"/>
          <w:color w:val="212529"/>
          <w:sz w:val="24"/>
          <w:szCs w:val="24"/>
          <w:lang w:eastAsia="ru-BY"/>
        </w:rPr>
        <w:t> настоящего пункта, предоставляются в квартале, в котором юридическое лицо имеет право на льготу.</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1.2</w:t>
      </w:r>
      <w:r w:rsidRPr="00411F62">
        <w:rPr>
          <w:rFonts w:ascii="Times New Roman" w:eastAsia="Times New Roman" w:hAnsi="Times New Roman" w:cs="Times New Roman"/>
          <w:color w:val="212529"/>
          <w:sz w:val="18"/>
          <w:szCs w:val="18"/>
          <w:vertAlign w:val="superscript"/>
          <w:lang w:eastAsia="ru-BY"/>
        </w:rPr>
        <w:t>1</w:t>
      </w:r>
      <w:r w:rsidRPr="00411F62">
        <w:rPr>
          <w:rFonts w:ascii="Times New Roman" w:eastAsia="Times New Roman" w:hAnsi="Times New Roman" w:cs="Times New Roman"/>
          <w:color w:val="212529"/>
          <w:sz w:val="24"/>
          <w:szCs w:val="24"/>
          <w:lang w:eastAsia="ru-BY"/>
        </w:rPr>
        <w:t>. действие </w:t>
      </w:r>
      <w:hyperlink r:id="rId21" w:anchor="&amp;Point=1&amp;UnderPoint=1.1/1" w:history="1">
        <w:r w:rsidRPr="00411F62">
          <w:rPr>
            <w:rFonts w:ascii="Times New Roman" w:eastAsia="Times New Roman" w:hAnsi="Times New Roman" w:cs="Times New Roman"/>
            <w:color w:val="000CFF"/>
            <w:sz w:val="24"/>
            <w:szCs w:val="24"/>
            <w:u w:val="single"/>
            <w:lang w:eastAsia="ru-BY"/>
          </w:rPr>
          <w:t>подпунктов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и </w:t>
      </w:r>
      <w:hyperlink r:id="rId22" w:anchor="&amp;Point=1&amp;UnderPoint=1.5" w:history="1">
        <w:r w:rsidRPr="00411F62">
          <w:rPr>
            <w:rFonts w:ascii="Times New Roman" w:eastAsia="Times New Roman" w:hAnsi="Times New Roman" w:cs="Times New Roman"/>
            <w:color w:val="000CFF"/>
            <w:sz w:val="24"/>
            <w:szCs w:val="24"/>
            <w:u w:val="single"/>
            <w:lang w:eastAsia="ru-BY"/>
          </w:rPr>
          <w:t>1.5</w:t>
        </w:r>
      </w:hyperlink>
      <w:r w:rsidRPr="00411F62">
        <w:rPr>
          <w:rFonts w:ascii="Times New Roman" w:eastAsia="Times New Roman" w:hAnsi="Times New Roman" w:cs="Times New Roman"/>
          <w:color w:val="212529"/>
          <w:sz w:val="24"/>
          <w:szCs w:val="24"/>
          <w:lang w:eastAsia="ru-BY"/>
        </w:rPr>
        <w:t> настоящего пункта распространяется на населенные пункты и территории вне населенных пунктов, относящиеся к территориям сельской местности и малых городских поселений, перечни которых определяются областными Советами депутатов.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При этом областные Советы депутатов вправе определять отдельный перечень населенных пунктов и территорий вне населенных пунктов, относящихся к территориям сельской местности и малых городских поселений, для каждого из </w:t>
      </w:r>
      <w:hyperlink r:id="rId23" w:anchor="&amp;Point=1&amp;UnderPoint=1.1/1" w:history="1">
        <w:r w:rsidRPr="00411F62">
          <w:rPr>
            <w:rFonts w:ascii="Times New Roman" w:eastAsia="Times New Roman" w:hAnsi="Times New Roman" w:cs="Times New Roman"/>
            <w:color w:val="000CFF"/>
            <w:sz w:val="24"/>
            <w:szCs w:val="24"/>
            <w:u w:val="single"/>
            <w:lang w:eastAsia="ru-BY"/>
          </w:rPr>
          <w:t>подпунктов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или </w:t>
      </w:r>
      <w:hyperlink r:id="rId24" w:anchor="&amp;Point=1&amp;UnderPoint=1.5" w:history="1">
        <w:r w:rsidRPr="00411F62">
          <w:rPr>
            <w:rFonts w:ascii="Times New Roman" w:eastAsia="Times New Roman" w:hAnsi="Times New Roman" w:cs="Times New Roman"/>
            <w:color w:val="000CFF"/>
            <w:sz w:val="24"/>
            <w:szCs w:val="24"/>
            <w:u w:val="single"/>
            <w:lang w:eastAsia="ru-BY"/>
          </w:rPr>
          <w:t>1.5</w:t>
        </w:r>
      </w:hyperlink>
      <w:r w:rsidRPr="00411F62">
        <w:rPr>
          <w:rFonts w:ascii="Times New Roman" w:eastAsia="Times New Roman" w:hAnsi="Times New Roman" w:cs="Times New Roman"/>
          <w:color w:val="212529"/>
          <w:sz w:val="24"/>
          <w:szCs w:val="24"/>
          <w:lang w:eastAsia="ru-BY"/>
        </w:rPr>
        <w:t> настоящего пункта, о чем в таком перечне делается соответствующая отметка.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Решения областных Советов депутатов об определении (изменении, признании утратившими силу) перечней, указанных в частях первой и второй настоящего подпункта, вступают в силу с первого числа первого месяца квартала, следующего за кварталом, в котором они официально опубликованы.</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Льготы, предусмотренные в абзацах втором и третьем </w:t>
      </w:r>
      <w:hyperlink r:id="rId25" w:anchor="&amp;Point=1&amp;UnderPoint=1.1/1" w:history="1">
        <w:r w:rsidRPr="00411F62">
          <w:rPr>
            <w:rFonts w:ascii="Times New Roman" w:eastAsia="Times New Roman" w:hAnsi="Times New Roman" w:cs="Times New Roman"/>
            <w:color w:val="000CFF"/>
            <w:sz w:val="24"/>
            <w:szCs w:val="24"/>
            <w:u w:val="single"/>
            <w:lang w:eastAsia="ru-BY"/>
          </w:rPr>
          <w:t>подпункта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выручки (доходов) от реализации товаров (работ, услуг), на которые распространяются положения, содержащиеся в абзацах втором и третьем </w:t>
      </w:r>
      <w:hyperlink r:id="rId26" w:anchor="&amp;Point=1&amp;UnderPoint=1.1/1" w:history="1">
        <w:r w:rsidRPr="00411F62">
          <w:rPr>
            <w:rFonts w:ascii="Times New Roman" w:eastAsia="Times New Roman" w:hAnsi="Times New Roman" w:cs="Times New Roman"/>
            <w:color w:val="000CFF"/>
            <w:sz w:val="24"/>
            <w:szCs w:val="24"/>
            <w:u w:val="single"/>
            <w:lang w:eastAsia="ru-BY"/>
          </w:rPr>
          <w:t>подпункта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настоящего пункта, а также затрат (расходов) по производству и (или) реализации.</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Льготы, предусмотренные в абзацах четвертом–шестом </w:t>
      </w:r>
      <w:hyperlink r:id="rId27" w:anchor="&amp;Point=1&amp;UnderPoint=1.1/1" w:history="1">
        <w:r w:rsidRPr="00411F62">
          <w:rPr>
            <w:rFonts w:ascii="Times New Roman" w:eastAsia="Times New Roman" w:hAnsi="Times New Roman" w:cs="Times New Roman"/>
            <w:color w:val="000CFF"/>
            <w:sz w:val="24"/>
            <w:szCs w:val="24"/>
            <w:u w:val="single"/>
            <w:lang w:eastAsia="ru-BY"/>
          </w:rPr>
          <w:t>подпункта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четвертом–шестом </w:t>
      </w:r>
      <w:hyperlink r:id="rId28" w:anchor="&amp;Point=1&amp;UnderPoint=1.1/1" w:history="1">
        <w:r w:rsidRPr="00411F62">
          <w:rPr>
            <w:rFonts w:ascii="Times New Roman" w:eastAsia="Times New Roman" w:hAnsi="Times New Roman" w:cs="Times New Roman"/>
            <w:color w:val="000CFF"/>
            <w:sz w:val="24"/>
            <w:szCs w:val="24"/>
            <w:u w:val="single"/>
            <w:lang w:eastAsia="ru-BY"/>
          </w:rPr>
          <w:t>подпункта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xml:space="preserve"> настоящего пункта. При этом льготы по налогу на недвижимость, земельному налогу, арендной плате за земельные участки, находящиеся в государственной </w:t>
      </w:r>
      <w:r w:rsidRPr="00411F62">
        <w:rPr>
          <w:rFonts w:ascii="Times New Roman" w:eastAsia="Times New Roman" w:hAnsi="Times New Roman" w:cs="Times New Roman"/>
          <w:color w:val="212529"/>
          <w:sz w:val="24"/>
          <w:szCs w:val="24"/>
          <w:lang w:eastAsia="ru-BY"/>
        </w:rPr>
        <w:lastRenderedPageBreak/>
        <w:t>собственности, предусмотренные в абзацах пятом и шестом </w:t>
      </w:r>
      <w:hyperlink r:id="rId29" w:anchor="&amp;Point=1&amp;UnderPoint=1.1/1" w:history="1">
        <w:r w:rsidRPr="00411F62">
          <w:rPr>
            <w:rFonts w:ascii="Times New Roman" w:eastAsia="Times New Roman" w:hAnsi="Times New Roman" w:cs="Times New Roman"/>
            <w:color w:val="000CFF"/>
            <w:sz w:val="24"/>
            <w:szCs w:val="24"/>
            <w:u w:val="single"/>
            <w:lang w:eastAsia="ru-BY"/>
          </w:rPr>
          <w:t>подпункта 1.1</w:t>
        </w:r>
        <w:r w:rsidRPr="00411F62">
          <w:rPr>
            <w:rFonts w:ascii="Times New Roman" w:eastAsia="Times New Roman" w:hAnsi="Times New Roman" w:cs="Times New Roman"/>
            <w:color w:val="000CFF"/>
            <w:sz w:val="18"/>
            <w:szCs w:val="18"/>
            <w:u w:val="single"/>
            <w:vertAlign w:val="superscript"/>
            <w:lang w:eastAsia="ru-BY"/>
          </w:rPr>
          <w:t>1</w:t>
        </w:r>
      </w:hyperlink>
      <w:r w:rsidRPr="00411F62">
        <w:rPr>
          <w:rFonts w:ascii="Times New Roman" w:eastAsia="Times New Roman" w:hAnsi="Times New Roman" w:cs="Times New Roman"/>
          <w:color w:val="212529"/>
          <w:sz w:val="24"/>
          <w:szCs w:val="24"/>
          <w:lang w:eastAsia="ru-BY"/>
        </w:rPr>
        <w:t> настоящего пункта, предоставляются в квартале, в котором юридическое лицо имеет право на льготу.</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в расположенных на территории сельской местности магазинах и (или) павильонах с торговой площадью менее 50 квадратных метров;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расположенных на территории сельской местности магазинах и (или) павильонах независимо от торговой площади таких магазинов и (или) павильонов;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1.5</w:t>
      </w:r>
      <w:r w:rsidRPr="00411F62">
        <w:rPr>
          <w:rFonts w:ascii="Times New Roman" w:eastAsia="Times New Roman" w:hAnsi="Times New Roman" w:cs="Times New Roman"/>
          <w:color w:val="212529"/>
          <w:sz w:val="18"/>
          <w:szCs w:val="18"/>
          <w:vertAlign w:val="superscript"/>
          <w:lang w:eastAsia="ru-BY"/>
        </w:rPr>
        <w:t>1</w:t>
      </w:r>
      <w:r w:rsidRPr="00411F62">
        <w:rPr>
          <w:rFonts w:ascii="Times New Roman" w:eastAsia="Times New Roman" w:hAnsi="Times New Roman" w:cs="Times New Roman"/>
          <w:color w:val="212529"/>
          <w:sz w:val="24"/>
          <w:szCs w:val="24"/>
          <w:lang w:eastAsia="ru-BY"/>
        </w:rPr>
        <w:t>. согласие антимонопольного органа в случаях, если такое согласие предусмотрено антимонопольным законодательством, на приобретение в собственность, получение во владение и (или) пользование находящегося на территории сельской местности недвижимого имущества коммерческой организации не требуется для осуществления на такой территории индивидуальным предпринимателем и юридическим лицом, приобретающими соответствующее имущество, розничной торговли, общественного питания, оказания бытовых услуг населению;</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1.5</w:t>
      </w:r>
      <w:r w:rsidRPr="00411F62">
        <w:rPr>
          <w:rFonts w:ascii="Times New Roman" w:eastAsia="Times New Roman" w:hAnsi="Times New Roman" w:cs="Times New Roman"/>
          <w:color w:val="212529"/>
          <w:sz w:val="18"/>
          <w:szCs w:val="18"/>
          <w:vertAlign w:val="superscript"/>
          <w:lang w:eastAsia="ru-BY"/>
        </w:rPr>
        <w:t>2</w:t>
      </w:r>
      <w:r w:rsidRPr="00411F62">
        <w:rPr>
          <w:rFonts w:ascii="Times New Roman" w:eastAsia="Times New Roman" w:hAnsi="Times New Roman" w:cs="Times New Roman"/>
          <w:color w:val="212529"/>
          <w:sz w:val="24"/>
          <w:szCs w:val="24"/>
          <w:lang w:eastAsia="ru-BY"/>
        </w:rPr>
        <w:t xml:space="preserve">. с 1 января 2024 г. тариф на электрическую энергию для торговых объектов, объектов общественного питания, расположенных на территории сельской местности, устанавливается на основании затрат, связанных с производством, передачей, распределением и продажей единицы электрической энергии, необходимой прибыли энергоснабжающих организаций (без учета суммы перекрестного субсидирования) и расходов по уплате налоговых платежей, но не ниже тарифа, предусмотренного для тарифной группы «Производственные нужды </w:t>
      </w:r>
      <w:proofErr w:type="spellStart"/>
      <w:r w:rsidRPr="00411F62">
        <w:rPr>
          <w:rFonts w:ascii="Times New Roman" w:eastAsia="Times New Roman" w:hAnsi="Times New Roman" w:cs="Times New Roman"/>
          <w:color w:val="212529"/>
          <w:sz w:val="24"/>
          <w:szCs w:val="24"/>
          <w:lang w:eastAsia="ru-BY"/>
        </w:rPr>
        <w:t>сельхозпотребителей</w:t>
      </w:r>
      <w:proofErr w:type="spellEnd"/>
      <w:r w:rsidRPr="00411F62">
        <w:rPr>
          <w:rFonts w:ascii="Times New Roman" w:eastAsia="Times New Roman" w:hAnsi="Times New Roman" w:cs="Times New Roman"/>
          <w:color w:val="212529"/>
          <w:sz w:val="24"/>
          <w:szCs w:val="24"/>
          <w:lang w:eastAsia="ru-BY"/>
        </w:rPr>
        <w:t>»;</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1.6. капитальные строения (здания, сооружения), изолированные помещения (далее, если не предусмотрено иное, – объекты недвижимого имущества), доли в праве собственности на объекты недвижимого имущества (далее – доли), находящиеся в государственной собственности, отчуждаются индивидуальным предпринимателям и юридическим лицам на возмездной основе в порядке, установленном актами законодательства о распоряжении имуществом, находящимся в государственной собственности, с учетом следующих особенностей:</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xml:space="preserve">без проведения торгов по рыночной стоимости для осуществления розничной торговли, общественного питания, оказания бытовых услуг населению при условии использования этих объектов, долей в указанных целях в течение не менее трех лет </w:t>
      </w:r>
      <w:r w:rsidRPr="00411F62">
        <w:rPr>
          <w:rFonts w:ascii="Times New Roman" w:eastAsia="Times New Roman" w:hAnsi="Times New Roman" w:cs="Times New Roman"/>
          <w:color w:val="212529"/>
          <w:sz w:val="24"/>
          <w:szCs w:val="24"/>
          <w:lang w:eastAsia="ru-BY"/>
        </w:rPr>
        <w:lastRenderedPageBreak/>
        <w:t>на территории сельской местности и (или) малых городских поселений. Начало исчисления названного трехлетнего периода определяется договором купли-продажи, но не позднее шести месяцев со дня подписания акта о приеме-передаче основных средств, а в случае проведения работ по модернизации (реконструкции) объекта – с момента завершения таких работ;</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с возможностью установления рассрочки оплаты этого объекта недвижимого имущества, доли на срок до пяти лет со дня заключения договора купли-продажи по заявлению покупателя;</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запрещается отчуждение покупателем третьим лицам объектов недвижимого имущества, долей до их оплаты покупателем и выполнения им обязательств, установленных в абзаце втором настоящего подпункта;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в случае неисполнения покупателем обязательств, установленных в абзаце втором настоящего подпункта, объекты недвижимого имущества, доли подлежат возврату в государственную собственность, в том числе с учетом выполненных покупателем неотделимых улучшений, без возмещения стоимости (затрат) указанных неотделимых улучшений. При этом у покупателя налоговые вычеты на суммы налога на добавленную стоимость, приходящиеся на стоимость неотделимых улучшений, не уменьшаются;</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1.7. для целей настоящего Указа: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индивидуальный предприниматель – индивидуальный предприниматель, зарегистрированный в Республике Беларусь;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юридическое лицо – юридическое лицо Республики Беларусь;</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proofErr w:type="spellStart"/>
      <w:r w:rsidRPr="00411F62">
        <w:rPr>
          <w:rFonts w:ascii="Times New Roman" w:eastAsia="Times New Roman" w:hAnsi="Times New Roman" w:cs="Times New Roman"/>
          <w:color w:val="212529"/>
          <w:sz w:val="24"/>
          <w:szCs w:val="24"/>
          <w:lang w:eastAsia="ru-BY"/>
        </w:rPr>
        <w:t>микроорганизация</w:t>
      </w:r>
      <w:proofErr w:type="spellEnd"/>
      <w:r w:rsidRPr="00411F62">
        <w:rPr>
          <w:rFonts w:ascii="Times New Roman" w:eastAsia="Times New Roman" w:hAnsi="Times New Roman" w:cs="Times New Roman"/>
          <w:color w:val="212529"/>
          <w:sz w:val="24"/>
          <w:szCs w:val="24"/>
          <w:lang w:eastAsia="ru-BY"/>
        </w:rPr>
        <w:t>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тысячи человек;</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территория малых городских поселений – территория поселков городского типа и городов, среднегодовая численность населения* на которой составляет более 2 тысяч человек, но не превышает 10 тысяч человек;</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единый налог – единый налог с индивидуальных предпринимателей и иных физических лиц;</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к бытовым услугам, оказываемым индивидуальными предпринимателями и юридическими лицами,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411F62" w:rsidRPr="00411F62" w:rsidRDefault="00411F62" w:rsidP="00411F62">
      <w:pPr>
        <w:shd w:val="clear" w:color="auto" w:fill="FFFFFF"/>
        <w:spacing w:after="0" w:line="240" w:lineRule="auto"/>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______________________________</w:t>
      </w:r>
    </w:p>
    <w:p w:rsidR="00411F62" w:rsidRPr="00411F62" w:rsidRDefault="00411F62" w:rsidP="00411F62">
      <w:pPr>
        <w:shd w:val="clear" w:color="auto" w:fill="FFFFFF"/>
        <w:spacing w:after="24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2. Действие настоящего Указа не распространяется:</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xml:space="preserve">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w:t>
      </w:r>
      <w:r w:rsidRPr="00411F62">
        <w:rPr>
          <w:rFonts w:ascii="Times New Roman" w:eastAsia="Times New Roman" w:hAnsi="Times New Roman" w:cs="Times New Roman"/>
          <w:color w:val="212529"/>
          <w:sz w:val="24"/>
          <w:szCs w:val="24"/>
          <w:lang w:eastAsia="ru-BY"/>
        </w:rPr>
        <w:lastRenderedPageBreak/>
        <w:t>(полуприцепами, прицепами-роспусками), ювелирными и другими бытовыми изделиями из драгоценных металлов и драгоценных камней;</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2.2. на оказание бытовых услуг по техническому обслуживанию и ремонту автотранспортных средств.</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3. Совету Министров Республики Беларусь в шестимесячный срок:</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обеспечить приведение актов законодательства в соответствие с настоящим Указом;</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принять иные меры по реализации настоящего Указа.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w:t>
      </w:r>
      <w:hyperlink r:id="rId30" w:anchor="&amp;Point=1&amp;UnderPoint=1.1" w:history="1">
        <w:r w:rsidRPr="00411F62">
          <w:rPr>
            <w:rFonts w:ascii="Times New Roman" w:eastAsia="Times New Roman" w:hAnsi="Times New Roman" w:cs="Times New Roman"/>
            <w:color w:val="000CFF"/>
            <w:sz w:val="24"/>
            <w:szCs w:val="24"/>
            <w:u w:val="single"/>
            <w:lang w:eastAsia="ru-BY"/>
          </w:rPr>
          <w:t>подпунктов 1.1</w:t>
        </w:r>
      </w:hyperlink>
      <w:r w:rsidRPr="00411F62">
        <w:rPr>
          <w:rFonts w:ascii="Times New Roman" w:eastAsia="Times New Roman" w:hAnsi="Times New Roman" w:cs="Times New Roman"/>
          <w:color w:val="212529"/>
          <w:sz w:val="24"/>
          <w:szCs w:val="24"/>
          <w:lang w:eastAsia="ru-BY"/>
        </w:rPr>
        <w:t>, </w:t>
      </w:r>
      <w:hyperlink r:id="rId31" w:anchor="&amp;Point=1&amp;UnderPoint=1.2" w:history="1">
        <w:r w:rsidRPr="00411F62">
          <w:rPr>
            <w:rFonts w:ascii="Times New Roman" w:eastAsia="Times New Roman" w:hAnsi="Times New Roman" w:cs="Times New Roman"/>
            <w:color w:val="000CFF"/>
            <w:sz w:val="24"/>
            <w:szCs w:val="24"/>
            <w:u w:val="single"/>
            <w:lang w:eastAsia="ru-BY"/>
          </w:rPr>
          <w:t>1.2</w:t>
        </w:r>
      </w:hyperlink>
      <w:r w:rsidRPr="00411F62">
        <w:rPr>
          <w:rFonts w:ascii="Times New Roman" w:eastAsia="Times New Roman" w:hAnsi="Times New Roman" w:cs="Times New Roman"/>
          <w:color w:val="212529"/>
          <w:sz w:val="24"/>
          <w:szCs w:val="24"/>
          <w:lang w:eastAsia="ru-BY"/>
        </w:rPr>
        <w:t> и </w:t>
      </w:r>
      <w:hyperlink r:id="rId32" w:anchor="&amp;Point=1&amp;UnderPoint=1.5" w:history="1">
        <w:r w:rsidRPr="00411F62">
          <w:rPr>
            <w:rFonts w:ascii="Times New Roman" w:eastAsia="Times New Roman" w:hAnsi="Times New Roman" w:cs="Times New Roman"/>
            <w:color w:val="000CFF"/>
            <w:sz w:val="24"/>
            <w:szCs w:val="24"/>
            <w:u w:val="single"/>
            <w:lang w:eastAsia="ru-BY"/>
          </w:rPr>
          <w:t>1.5</w:t>
        </w:r>
      </w:hyperlink>
      <w:r w:rsidRPr="00411F62">
        <w:rPr>
          <w:rFonts w:ascii="Times New Roman" w:eastAsia="Times New Roman" w:hAnsi="Times New Roman" w:cs="Times New Roman"/>
          <w:color w:val="212529"/>
          <w:sz w:val="24"/>
          <w:szCs w:val="24"/>
          <w:lang w:eastAsia="ru-BY"/>
        </w:rPr>
        <w:t> пункта 1 настоящего Указа.</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6. Настоящий Указ вступает в силу после его официального опубликования.</w:t>
      </w:r>
    </w:p>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w:t>
      </w:r>
    </w:p>
    <w:tbl>
      <w:tblPr>
        <w:tblW w:w="15300" w:type="dxa"/>
        <w:shd w:val="clear" w:color="auto" w:fill="FFFFFF"/>
        <w:tblCellMar>
          <w:left w:w="0" w:type="dxa"/>
          <w:right w:w="0" w:type="dxa"/>
        </w:tblCellMar>
        <w:tblLook w:val="04A0" w:firstRow="1" w:lastRow="0" w:firstColumn="1" w:lastColumn="0" w:noHBand="0" w:noVBand="1"/>
      </w:tblPr>
      <w:tblGrid>
        <w:gridCol w:w="8807"/>
        <w:gridCol w:w="6493"/>
      </w:tblGrid>
      <w:tr w:rsidR="00411F62" w:rsidRPr="00411F62" w:rsidTr="00411F62">
        <w:tc>
          <w:tcPr>
            <w:tcW w:w="8807" w:type="dxa"/>
            <w:tcBorders>
              <w:top w:val="nil"/>
              <w:left w:val="nil"/>
              <w:bottom w:val="nil"/>
              <w:right w:val="nil"/>
            </w:tcBorders>
            <w:shd w:val="clear" w:color="auto" w:fill="FFFFFF"/>
            <w:tcMar>
              <w:top w:w="0" w:type="dxa"/>
              <w:left w:w="6" w:type="dxa"/>
              <w:bottom w:w="0" w:type="dxa"/>
              <w:right w:w="6" w:type="dxa"/>
            </w:tcMar>
            <w:vAlign w:val="bottom"/>
            <w:hideMark/>
          </w:tcPr>
          <w:p w:rsidR="00411F62" w:rsidRPr="00411F62" w:rsidRDefault="00411F62" w:rsidP="00411F62">
            <w:pPr>
              <w:spacing w:after="0" w:line="240" w:lineRule="auto"/>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b/>
                <w:bCs/>
                <w:color w:val="212529"/>
                <w:sz w:val="26"/>
                <w:szCs w:val="26"/>
                <w:lang w:eastAsia="ru-BY"/>
              </w:rPr>
              <w:t>Президент Республики Беларусь</w:t>
            </w:r>
          </w:p>
        </w:tc>
        <w:tc>
          <w:tcPr>
            <w:tcW w:w="6493" w:type="dxa"/>
            <w:tcBorders>
              <w:top w:val="nil"/>
              <w:left w:val="nil"/>
              <w:bottom w:val="nil"/>
              <w:right w:val="nil"/>
            </w:tcBorders>
            <w:shd w:val="clear" w:color="auto" w:fill="FFFFFF"/>
            <w:tcMar>
              <w:top w:w="0" w:type="dxa"/>
              <w:left w:w="6" w:type="dxa"/>
              <w:bottom w:w="0" w:type="dxa"/>
              <w:right w:w="6" w:type="dxa"/>
            </w:tcMar>
            <w:vAlign w:val="bottom"/>
            <w:hideMark/>
          </w:tcPr>
          <w:p w:rsidR="00411F62" w:rsidRPr="00411F62" w:rsidRDefault="00411F62" w:rsidP="00411F62">
            <w:pPr>
              <w:spacing w:after="0" w:line="240" w:lineRule="auto"/>
              <w:jc w:val="right"/>
              <w:rPr>
                <w:rFonts w:ascii="Times New Roman" w:eastAsia="Times New Roman" w:hAnsi="Times New Roman" w:cs="Times New Roman"/>
                <w:color w:val="212529"/>
                <w:sz w:val="24"/>
                <w:szCs w:val="24"/>
                <w:lang w:eastAsia="ru-BY"/>
              </w:rPr>
            </w:pPr>
            <w:proofErr w:type="spellStart"/>
            <w:r w:rsidRPr="00411F62">
              <w:rPr>
                <w:rFonts w:ascii="Times New Roman" w:eastAsia="Times New Roman" w:hAnsi="Times New Roman" w:cs="Times New Roman"/>
                <w:b/>
                <w:bCs/>
                <w:color w:val="212529"/>
                <w:sz w:val="26"/>
                <w:szCs w:val="26"/>
                <w:lang w:eastAsia="ru-BY"/>
              </w:rPr>
              <w:t>А.Лукашенко</w:t>
            </w:r>
            <w:proofErr w:type="spellEnd"/>
          </w:p>
        </w:tc>
      </w:tr>
    </w:tbl>
    <w:p w:rsidR="00411F62" w:rsidRPr="00411F62" w:rsidRDefault="00411F62" w:rsidP="00411F62">
      <w:pPr>
        <w:shd w:val="clear" w:color="auto" w:fill="FFFFFF"/>
        <w:spacing w:after="0" w:line="240" w:lineRule="auto"/>
        <w:ind w:firstLine="567"/>
        <w:jc w:val="both"/>
        <w:rPr>
          <w:rFonts w:ascii="Times New Roman" w:eastAsia="Times New Roman" w:hAnsi="Times New Roman" w:cs="Times New Roman"/>
          <w:color w:val="212529"/>
          <w:sz w:val="24"/>
          <w:szCs w:val="24"/>
          <w:lang w:eastAsia="ru-BY"/>
        </w:rPr>
      </w:pPr>
      <w:r w:rsidRPr="00411F62">
        <w:rPr>
          <w:rFonts w:ascii="Times New Roman" w:eastAsia="Times New Roman" w:hAnsi="Times New Roman" w:cs="Times New Roman"/>
          <w:color w:val="212529"/>
          <w:sz w:val="24"/>
          <w:szCs w:val="24"/>
          <w:lang w:eastAsia="ru-BY"/>
        </w:rPr>
        <w:t> </w:t>
      </w:r>
    </w:p>
    <w:p w:rsidR="00411F62" w:rsidRDefault="00411F62">
      <w:bookmarkStart w:id="0" w:name="_GoBack"/>
      <w:bookmarkEnd w:id="0"/>
    </w:p>
    <w:sectPr w:rsidR="00411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62"/>
    <w:rsid w:val="00411F6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3AF64-B81E-40D9-B63C-B648C2BE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47803">
      <w:bodyDiv w:val="1"/>
      <w:marLeft w:val="0"/>
      <w:marRight w:val="0"/>
      <w:marTop w:val="0"/>
      <w:marBottom w:val="0"/>
      <w:divBdr>
        <w:top w:val="none" w:sz="0" w:space="0" w:color="auto"/>
        <w:left w:val="none" w:sz="0" w:space="0" w:color="auto"/>
        <w:bottom w:val="none" w:sz="0" w:space="0" w:color="auto"/>
        <w:right w:val="none" w:sz="0" w:space="0" w:color="auto"/>
      </w:divBdr>
      <w:divsChild>
        <w:div w:id="9699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document/?regnum=p31700345&amp;q_id=8406214" TargetMode="External"/><Relationship Id="rId18" Type="http://schemas.openxmlformats.org/officeDocument/2006/relationships/hyperlink" Target="https://etalonline.by/document/?regnum=p31700345&amp;q_id=8406214" TargetMode="External"/><Relationship Id="rId26" Type="http://schemas.openxmlformats.org/officeDocument/2006/relationships/hyperlink" Target="https://etalonline.by/document/?regnum=p31700345&amp;q_id=8406214" TargetMode="External"/><Relationship Id="rId3" Type="http://schemas.openxmlformats.org/officeDocument/2006/relationships/webSettings" Target="webSettings.xml"/><Relationship Id="rId21" Type="http://schemas.openxmlformats.org/officeDocument/2006/relationships/hyperlink" Target="https://etalonline.by/document/?regnum=p31700345&amp;q_id=8406214" TargetMode="External"/><Relationship Id="rId34" Type="http://schemas.openxmlformats.org/officeDocument/2006/relationships/theme" Target="theme/theme1.xml"/><Relationship Id="rId7" Type="http://schemas.openxmlformats.org/officeDocument/2006/relationships/hyperlink" Target="https://etalonline.by/webnpa/text.asp?RN=P32400042" TargetMode="External"/><Relationship Id="rId12" Type="http://schemas.openxmlformats.org/officeDocument/2006/relationships/hyperlink" Target="https://etalonline.by/document/?regnum=p31700345&amp;q_id=8406214" TargetMode="External"/><Relationship Id="rId17" Type="http://schemas.openxmlformats.org/officeDocument/2006/relationships/hyperlink" Target="https://etalonline.by/document/?regnum=p31700345&amp;q_id=8406214" TargetMode="External"/><Relationship Id="rId25" Type="http://schemas.openxmlformats.org/officeDocument/2006/relationships/hyperlink" Target="https://etalonline.by/document/?regnum=p31700345&amp;q_id=840621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talonline.by/document/?regnum=p31700345&amp;q_id=8406214" TargetMode="External"/><Relationship Id="rId20" Type="http://schemas.openxmlformats.org/officeDocument/2006/relationships/hyperlink" Target="https://etalonline.by/document/?regnum=p31700345&amp;q_id=8406214" TargetMode="External"/><Relationship Id="rId29" Type="http://schemas.openxmlformats.org/officeDocument/2006/relationships/hyperlink" Target="https://etalonline.by/document/?regnum=p31700345&amp;q_id=8406214" TargetMode="External"/><Relationship Id="rId1" Type="http://schemas.openxmlformats.org/officeDocument/2006/relationships/styles" Target="styles.xml"/><Relationship Id="rId6" Type="http://schemas.openxmlformats.org/officeDocument/2006/relationships/hyperlink" Target="https://etalonline.by/webnpa/text.asp?RN=P32400042" TargetMode="External"/><Relationship Id="rId11" Type="http://schemas.openxmlformats.org/officeDocument/2006/relationships/hyperlink" Target="https://etalonline.by/document/?regnum=p31700345&amp;q_id=8406214" TargetMode="External"/><Relationship Id="rId24" Type="http://schemas.openxmlformats.org/officeDocument/2006/relationships/hyperlink" Target="https://etalonline.by/document/?regnum=p31700345&amp;q_id=8406214" TargetMode="External"/><Relationship Id="rId32" Type="http://schemas.openxmlformats.org/officeDocument/2006/relationships/hyperlink" Target="https://etalonline.by/document/?regnum=p31700345&amp;q_id=8406214" TargetMode="External"/><Relationship Id="rId5" Type="http://schemas.openxmlformats.org/officeDocument/2006/relationships/hyperlink" Target="https://etalonline.by/webnpa/text.asp?RN=P32200298" TargetMode="External"/><Relationship Id="rId15" Type="http://schemas.openxmlformats.org/officeDocument/2006/relationships/hyperlink" Target="https://etalonline.by/webnpa/text.asp?RN=hk0900071" TargetMode="External"/><Relationship Id="rId23" Type="http://schemas.openxmlformats.org/officeDocument/2006/relationships/hyperlink" Target="https://etalonline.by/document/?regnum=p31700345&amp;q_id=8406214" TargetMode="External"/><Relationship Id="rId28" Type="http://schemas.openxmlformats.org/officeDocument/2006/relationships/hyperlink" Target="https://etalonline.by/document/?regnum=p31700345&amp;q_id=8406214" TargetMode="External"/><Relationship Id="rId10" Type="http://schemas.openxmlformats.org/officeDocument/2006/relationships/hyperlink" Target="https://etalonline.by/document/?regnum=p31700345&amp;q_id=8406214" TargetMode="External"/><Relationship Id="rId19" Type="http://schemas.openxmlformats.org/officeDocument/2006/relationships/hyperlink" Target="https://etalonline.by/document/?regnum=p31700345&amp;q_id=8406214" TargetMode="External"/><Relationship Id="rId31" Type="http://schemas.openxmlformats.org/officeDocument/2006/relationships/hyperlink" Target="https://etalonline.by/document/?regnum=p31700345&amp;q_id=8406214" TargetMode="External"/><Relationship Id="rId4" Type="http://schemas.openxmlformats.org/officeDocument/2006/relationships/hyperlink" Target="https://etalonline.by/webnpa/text.asp?RN=P31900411" TargetMode="External"/><Relationship Id="rId9" Type="http://schemas.openxmlformats.org/officeDocument/2006/relationships/hyperlink" Target="https://etalonline.by/webnpa/text.asp?RN=Hk0900071" TargetMode="External"/><Relationship Id="rId14" Type="http://schemas.openxmlformats.org/officeDocument/2006/relationships/hyperlink" Target="https://etalonline.by/document/?regnum=p31700345&amp;q_id=8406214" TargetMode="External"/><Relationship Id="rId22" Type="http://schemas.openxmlformats.org/officeDocument/2006/relationships/hyperlink" Target="https://etalonline.by/document/?regnum=p31700345&amp;q_id=8406214" TargetMode="External"/><Relationship Id="rId27" Type="http://schemas.openxmlformats.org/officeDocument/2006/relationships/hyperlink" Target="https://etalonline.by/document/?regnum=p31700345&amp;q_id=8406214" TargetMode="External"/><Relationship Id="rId30" Type="http://schemas.openxmlformats.org/officeDocument/2006/relationships/hyperlink" Target="https://etalonline.by/document/?regnum=p31700345&amp;q_id=8406214" TargetMode="External"/><Relationship Id="rId8" Type="http://schemas.openxmlformats.org/officeDocument/2006/relationships/hyperlink" Target="https://etalonline.by/webnpa/text.asp?RN=Hk09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2025-04-11T06:50:00Z</dcterms:created>
  <dcterms:modified xsi:type="dcterms:W3CDTF">2025-04-11T06:51:00Z</dcterms:modified>
</cp:coreProperties>
</file>