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E6" w:rsidRPr="00D05CE6" w:rsidRDefault="00D05CE6" w:rsidP="009F2A26">
      <w:pPr>
        <w:pStyle w:val="h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>Информация о состоянии производственного травматизма в организациях Витебской области и осуществлении надзорной деятельности по вопросам охраны труда по итогам работы за 12 месяцев 2025 года</w:t>
      </w:r>
    </w:p>
    <w:p w:rsid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По оперативным данным Витебского областного управления Департамента государственной инспекции труда (Далее - управление), в организациях Витебской области за 12 месяцев 2025 года общее количество несчастных случаев на производстве составило - 192, за аналогичный период 2024года - 194 случая (снижение – 1,03%). За отчётный период в результате произошедших несчастных случаев на производстве в организациях Витебской области зарегистрировано 10 несчастных случая со смертельным исходом (за аналогичный период 2025 года - 5).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>Рост несчастных случаев со смертельным исходом зарегистрирован в организациях следующих территориальных единиц</w:t>
      </w:r>
      <w:bookmarkStart w:id="0" w:name="_GoBack"/>
      <w:bookmarkEnd w:id="0"/>
      <w:r w:rsidRPr="00D05CE6">
        <w:rPr>
          <w:sz w:val="28"/>
          <w:szCs w:val="28"/>
        </w:rPr>
        <w:t xml:space="preserve"> области: Витебский, </w:t>
      </w:r>
      <w:proofErr w:type="spellStart"/>
      <w:r w:rsidRPr="00D05CE6">
        <w:rPr>
          <w:sz w:val="28"/>
          <w:szCs w:val="28"/>
        </w:rPr>
        <w:t>Докшицкий</w:t>
      </w:r>
      <w:proofErr w:type="spellEnd"/>
      <w:r w:rsidRPr="00D05CE6">
        <w:rPr>
          <w:sz w:val="28"/>
          <w:szCs w:val="28"/>
        </w:rPr>
        <w:t xml:space="preserve">, Дубровенский, Оршанский, </w:t>
      </w:r>
      <w:proofErr w:type="spellStart"/>
      <w:r w:rsidRPr="00D05CE6">
        <w:rPr>
          <w:sz w:val="28"/>
          <w:szCs w:val="28"/>
        </w:rPr>
        <w:t>Чашникский</w:t>
      </w:r>
      <w:proofErr w:type="spellEnd"/>
      <w:r w:rsidRPr="00D05CE6">
        <w:rPr>
          <w:sz w:val="28"/>
          <w:szCs w:val="28"/>
        </w:rPr>
        <w:t xml:space="preserve">, </w:t>
      </w:r>
      <w:proofErr w:type="spellStart"/>
      <w:r w:rsidRPr="00D05CE6">
        <w:rPr>
          <w:sz w:val="28"/>
          <w:szCs w:val="28"/>
        </w:rPr>
        <w:t>Шумилинский</w:t>
      </w:r>
      <w:proofErr w:type="spellEnd"/>
      <w:r w:rsidRPr="00D05CE6">
        <w:rPr>
          <w:sz w:val="28"/>
          <w:szCs w:val="28"/>
        </w:rPr>
        <w:t xml:space="preserve"> районы – 1 (аналогичный период 2024 - 0), г. Витебск, Железнодорожный район г. Витебска – 2 (0). На уровне 2024 года сохранилось количество несчастных случаев со смертельным исходом в организациях </w:t>
      </w:r>
      <w:proofErr w:type="spellStart"/>
      <w:r w:rsidRPr="00D05CE6">
        <w:rPr>
          <w:sz w:val="28"/>
          <w:szCs w:val="28"/>
        </w:rPr>
        <w:t>Городокского</w:t>
      </w:r>
      <w:proofErr w:type="spellEnd"/>
      <w:r w:rsidRPr="00D05CE6">
        <w:rPr>
          <w:sz w:val="28"/>
          <w:szCs w:val="28"/>
        </w:rPr>
        <w:t xml:space="preserve"> и Лепельского районов – по одному случаю.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2025 год отмечается снижение несчастных случаев производственного травматизма, повлекших получение травм, не относящихся к тяжелым со 122 до 108 (снижение 11,5%).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По несчастным случаям, не относящимся к тяжёлым производственным травмам рост производственного травматизма за 12 месяцев 2025 года в сравнении с аналогичным периодом 2024 года отмечается в организациях следующих районов (территориальных единиц): в Администрации Железнодорожного района г. Витебска - 8 (5); Новополоцк - 7 (5); Сенненского - 4 (2); Дубровенского </w:t>
      </w:r>
      <w:r w:rsidR="009F2A26">
        <w:rPr>
          <w:sz w:val="28"/>
          <w:szCs w:val="28"/>
        </w:rPr>
        <w:t>–</w:t>
      </w:r>
      <w:r w:rsidRPr="00D05CE6">
        <w:rPr>
          <w:sz w:val="28"/>
          <w:szCs w:val="28"/>
        </w:rPr>
        <w:t xml:space="preserve"> 5</w:t>
      </w:r>
      <w:r w:rsidR="009F2A26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(2); </w:t>
      </w:r>
      <w:proofErr w:type="spellStart"/>
      <w:r w:rsidRPr="00D05CE6">
        <w:rPr>
          <w:sz w:val="28"/>
          <w:szCs w:val="28"/>
        </w:rPr>
        <w:t>Поставского</w:t>
      </w:r>
      <w:proofErr w:type="spellEnd"/>
      <w:r w:rsidRPr="00D05CE6">
        <w:rPr>
          <w:sz w:val="28"/>
          <w:szCs w:val="28"/>
        </w:rPr>
        <w:t xml:space="preserve"> - 5 (4); </w:t>
      </w:r>
      <w:proofErr w:type="spellStart"/>
      <w:r w:rsidRPr="00D05CE6">
        <w:rPr>
          <w:sz w:val="28"/>
          <w:szCs w:val="28"/>
        </w:rPr>
        <w:t>Лиозненского</w:t>
      </w:r>
      <w:proofErr w:type="spellEnd"/>
      <w:r w:rsidRPr="00D05CE6">
        <w:rPr>
          <w:sz w:val="28"/>
          <w:szCs w:val="28"/>
        </w:rPr>
        <w:t xml:space="preserve">, </w:t>
      </w:r>
      <w:proofErr w:type="spellStart"/>
      <w:r w:rsidRPr="00D05CE6">
        <w:rPr>
          <w:sz w:val="28"/>
          <w:szCs w:val="28"/>
        </w:rPr>
        <w:t>Миорского</w:t>
      </w:r>
      <w:proofErr w:type="spellEnd"/>
      <w:r w:rsidRPr="00D05CE6">
        <w:rPr>
          <w:sz w:val="28"/>
          <w:szCs w:val="28"/>
        </w:rPr>
        <w:t xml:space="preserve">, </w:t>
      </w:r>
      <w:proofErr w:type="spellStart"/>
      <w:r w:rsidRPr="00D05CE6">
        <w:rPr>
          <w:sz w:val="28"/>
          <w:szCs w:val="28"/>
        </w:rPr>
        <w:t>Бешенковичского</w:t>
      </w:r>
      <w:proofErr w:type="spellEnd"/>
      <w:r w:rsidRPr="00D05CE6">
        <w:rPr>
          <w:sz w:val="28"/>
          <w:szCs w:val="28"/>
        </w:rPr>
        <w:t xml:space="preserve"> </w:t>
      </w:r>
      <w:r w:rsidR="009F2A26">
        <w:rPr>
          <w:sz w:val="28"/>
          <w:szCs w:val="28"/>
        </w:rPr>
        <w:t>–</w:t>
      </w:r>
      <w:r w:rsidRPr="00D05CE6">
        <w:rPr>
          <w:sz w:val="28"/>
          <w:szCs w:val="28"/>
        </w:rPr>
        <w:t xml:space="preserve"> 2</w:t>
      </w:r>
      <w:r w:rsidR="009F2A26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(1).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12 месяцев 2025 года в сравнении с аналогичным периодом прошлого года отмечается снижение количества несчастных случаев на производстве приведших к тяжёлым травмам в организациях коммунальной формы собственности с 37 до 32 случаев, при этом рост случаев травматизма отмечается в организациях пищевой промышленности с 2 до 4, архитектуры и строительства с 4 до 6, легкой промышленности - 2 случая (2024 - 0), образование – 1(0).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Рост количества несчастных случаев, приведших к тяжёлым травмам отмечается в следующих организациях республиканской формы собственности – </w:t>
      </w:r>
      <w:proofErr w:type="spellStart"/>
      <w:r w:rsidRPr="00D05CE6">
        <w:rPr>
          <w:sz w:val="28"/>
          <w:szCs w:val="28"/>
        </w:rPr>
        <w:t>Минлесхоза</w:t>
      </w:r>
      <w:proofErr w:type="spellEnd"/>
      <w:r w:rsidRPr="00D05CE6">
        <w:rPr>
          <w:sz w:val="28"/>
          <w:szCs w:val="28"/>
        </w:rPr>
        <w:t xml:space="preserve"> 8 (5), </w:t>
      </w:r>
      <w:proofErr w:type="spellStart"/>
      <w:r w:rsidRPr="00D05CE6">
        <w:rPr>
          <w:sz w:val="28"/>
          <w:szCs w:val="28"/>
        </w:rPr>
        <w:t>Беллегром</w:t>
      </w:r>
      <w:proofErr w:type="spellEnd"/>
      <w:r w:rsidRPr="00D05CE6">
        <w:rPr>
          <w:sz w:val="28"/>
          <w:szCs w:val="28"/>
        </w:rPr>
        <w:t xml:space="preserve"> 3 (0), Минэнерго 2 (1), Минсвязи 1 (0), </w:t>
      </w:r>
      <w:proofErr w:type="spellStart"/>
      <w:r w:rsidRPr="00D05CE6">
        <w:rPr>
          <w:sz w:val="28"/>
          <w:szCs w:val="28"/>
        </w:rPr>
        <w:t>Минстройархитектуры</w:t>
      </w:r>
      <w:proofErr w:type="spellEnd"/>
      <w:r w:rsidRPr="00D05CE6">
        <w:rPr>
          <w:sz w:val="28"/>
          <w:szCs w:val="28"/>
        </w:rPr>
        <w:t xml:space="preserve"> 1 (0), </w:t>
      </w:r>
      <w:proofErr w:type="spellStart"/>
      <w:r w:rsidRPr="00D05CE6">
        <w:rPr>
          <w:sz w:val="28"/>
          <w:szCs w:val="28"/>
        </w:rPr>
        <w:t>Госкомвоенпром</w:t>
      </w:r>
      <w:proofErr w:type="spellEnd"/>
      <w:r w:rsidRPr="00D05CE6">
        <w:rPr>
          <w:sz w:val="28"/>
          <w:szCs w:val="28"/>
        </w:rPr>
        <w:t xml:space="preserve"> 2 (0), НАН Беларуси 2 (0), Минобразования 1 (0).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В 2025 году в организациях области зарегистрировано 9 несчастных случаев с работниками, находящимися в состоянии алкогольного опьянения (2024 год – 2).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По результатам завершённых расследований с тяжкими последствиями (смертельные и тяжелые травмы) установлены характерные причины несчастных случаев, произошедших за 12 месяцев 2025 года: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lastRenderedPageBreak/>
        <w:t xml:space="preserve">- нарушение потерпевшим трудовой и производственной дисциплины, инструкций по охране труда – 17,6% (аналогичный период 2024 года – 20,7%);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невыполнение руководителями и специалистами обязанностей по охране труда - 16% (12,2%);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неудовлетворительная организация производства работ, в том числе, неудовлетворительное содержание и недостатки в организации рабочих мест – 5,3% (4,9%);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нарушение другим работником требований охраны труда – 4,6% (7,3%);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неудовлетворительное техническое состояние зданий, сооружений, территории – 3,1% (1,2%);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личная неосторожность – 10,7% (8,5%).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январь-декабрь 2025 года государственными инспекторами труда из общего количества проведенных 360 надзорных мероприятий проведено: 316 мониторингов, 43 выборочные проверки и одна внеплановая. В ходе данных мероприятий выявлено и предписано (рекомендовано) к устранению 5994 нарушения требований законодательства о труде и об охране труда.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В организациях по итогам надзорных мероприятий по указанию государственных инспекторов труда отстранено от работы 450 </w:t>
      </w:r>
      <w:r w:rsidR="009F2A26" w:rsidRPr="00D05CE6">
        <w:rPr>
          <w:sz w:val="28"/>
          <w:szCs w:val="28"/>
        </w:rPr>
        <w:t>работников,</w:t>
      </w:r>
      <w:r w:rsidRPr="00D05CE6">
        <w:rPr>
          <w:sz w:val="28"/>
          <w:szCs w:val="28"/>
        </w:rPr>
        <w:t xml:space="preserve"> не прошедших инструктаж, проверку знаний по охране труда, не использующих требуемые средства индивидуальной защиты, обеспечивающие безопасность труда, не прошедших медицинский осмотр в случаях и порядке, предусмотренных законодательством.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На основании материалов госинспекторов труда привлечено к дисциплинарной ответственности 141 уполномоченное должностное лицо нанимателя, допустивших нарушения законодательства о труде и об охране труда. В ходе осуществления указанных профилактических мероприятий госинспекторами труда приостановлена работа 318 единиц станков, машин, другого оборудования, а также 7 цехов (участков) и двух объектов строительства.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январь-декабрь 2025 года по итогам надзорных мероприятий к административной ответственности в виде штрафа привлечено 532 должностных лица на общую сумму 176,442 тыс. руб.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Всего за 2025 год мобильными группами с участием госинспекторов труда проведено 1270 обследований организаций АПК, в том числе без ведомственной подчиненности, а также строительных организаций, в ходе которых выявлено 14530 нарушения требований безопасности. </w:t>
      </w:r>
    </w:p>
    <w:p w:rsidR="00D05CE6" w:rsidRPr="00D05CE6" w:rsidRDefault="00D05CE6" w:rsidP="009F2A26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Информация о результатах проведенных проверок (обследований, мониторингов) и других мероприятий по профилактике производственного травматизма с освещением соответствующих характерных нарушений за 12 месяцев 2025 года оперативно публиковалась в СМИ (опубликовано 367 выступлений в СМИ). </w:t>
      </w:r>
    </w:p>
    <w:p w:rsidR="0017278F" w:rsidRPr="00D05CE6" w:rsidRDefault="00D05CE6" w:rsidP="009F2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E6">
        <w:rPr>
          <w:rFonts w:ascii="Times New Roman" w:hAnsi="Times New Roman" w:cs="Times New Roman"/>
          <w:sz w:val="28"/>
          <w:szCs w:val="28"/>
        </w:rPr>
        <w:t xml:space="preserve">Обобщенная информация по итогам работы за 12 месяцев 2025 года оперативно направлялась заинтересованным, в соответствующие </w:t>
      </w:r>
      <w:proofErr w:type="spellStart"/>
      <w:r w:rsidRPr="00D05CE6">
        <w:rPr>
          <w:rFonts w:ascii="Times New Roman" w:hAnsi="Times New Roman" w:cs="Times New Roman"/>
          <w:sz w:val="28"/>
          <w:szCs w:val="28"/>
        </w:rPr>
        <w:t>горрайисполкомы</w:t>
      </w:r>
      <w:proofErr w:type="spellEnd"/>
      <w:r w:rsidRPr="00D05CE6">
        <w:rPr>
          <w:rFonts w:ascii="Times New Roman" w:hAnsi="Times New Roman" w:cs="Times New Roman"/>
          <w:sz w:val="28"/>
          <w:szCs w:val="28"/>
        </w:rPr>
        <w:t xml:space="preserve"> и другие госорганы (направлено 1032 информации), в том числе органы прокуратуры - 347, в профсоюзы - 29. </w:t>
      </w:r>
    </w:p>
    <w:sectPr w:rsidR="0017278F" w:rsidRPr="00D05CE6" w:rsidSect="009F2A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E6"/>
    <w:rsid w:val="0017278F"/>
    <w:rsid w:val="009F2A26"/>
    <w:rsid w:val="00D0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8FF3F-F741-46C8-AC15-AFF23565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CE6"/>
    <w:rPr>
      <w:rFonts w:ascii="Times New Roman" w:hAnsi="Times New Roman" w:cs="Times New Roman"/>
      <w:sz w:val="24"/>
      <w:szCs w:val="24"/>
    </w:rPr>
  </w:style>
  <w:style w:type="paragraph" w:customStyle="1" w:styleId="h5">
    <w:name w:val="h5"/>
    <w:basedOn w:val="a"/>
    <w:rsid w:val="00D0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ktualdata">
    <w:name w:val="aktual_data"/>
    <w:basedOn w:val="a"/>
    <w:rsid w:val="00D0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3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28-2</cp:lastModifiedBy>
  <cp:revision>2</cp:revision>
  <dcterms:created xsi:type="dcterms:W3CDTF">2026-03-25T07:48:00Z</dcterms:created>
  <dcterms:modified xsi:type="dcterms:W3CDTF">2026-03-25T07:48:00Z</dcterms:modified>
</cp:coreProperties>
</file>